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DA" w:rsidRDefault="00A326DA" w:rsidP="00A326DA">
      <w:pPr>
        <w:rPr>
          <w:rFonts w:hint="eastAsia"/>
          <w:b/>
          <w:sz w:val="52"/>
        </w:rPr>
      </w:pPr>
      <w:bookmarkStart w:id="0" w:name="_GoBack"/>
      <w:bookmarkEnd w:id="0"/>
    </w:p>
    <w:p w:rsidR="00A326DA" w:rsidRDefault="00A326DA" w:rsidP="00A326DA">
      <w:pPr>
        <w:rPr>
          <w:rFonts w:hint="eastAsia"/>
          <w:b/>
          <w:sz w:val="52"/>
        </w:rPr>
      </w:pPr>
      <w:r>
        <w:rPr>
          <w:b/>
          <w:sz w:val="52"/>
        </w:rPr>
        <w:t>Resistente bakterier er et stort folkehelseproblem.</w:t>
      </w:r>
    </w:p>
    <w:p w:rsidR="00A326DA" w:rsidRDefault="00A326DA" w:rsidP="00A326DA">
      <w:pPr>
        <w:rPr>
          <w:rFonts w:hint="eastAsia"/>
          <w:sz w:val="44"/>
        </w:rPr>
      </w:pPr>
      <w:r>
        <w:rPr>
          <w:sz w:val="44"/>
        </w:rPr>
        <w:t>Disse bakteriene har vi selv dyrket fram ved å bruke antibiotika for ofte, - og mange ganger helt unødvendig.</w:t>
      </w:r>
    </w:p>
    <w:p w:rsidR="00A326DA" w:rsidRDefault="00A326DA" w:rsidP="00A326DA">
      <w:pPr>
        <w:rPr>
          <w:rFonts w:hint="eastAsia"/>
        </w:rPr>
      </w:pPr>
    </w:p>
    <w:p w:rsidR="00A326DA" w:rsidRDefault="00A326DA" w:rsidP="00A326DA">
      <w:pPr>
        <w:rPr>
          <w:rFonts w:hint="eastAsia"/>
          <w:sz w:val="44"/>
        </w:rPr>
      </w:pPr>
    </w:p>
    <w:p w:rsidR="00A326DA" w:rsidRDefault="00A326DA" w:rsidP="00A326DA">
      <w:pPr>
        <w:rPr>
          <w:rFonts w:hint="eastAsia"/>
          <w:sz w:val="44"/>
        </w:rPr>
      </w:pPr>
    </w:p>
    <w:p w:rsidR="00A326DA" w:rsidRPr="00B22258" w:rsidRDefault="00A326DA" w:rsidP="00A326DA">
      <w:pPr>
        <w:jc w:val="center"/>
        <w:rPr>
          <w:rFonts w:cs="Aharoni" w:hint="eastAsia"/>
          <w:b/>
          <w:i/>
          <w:sz w:val="56"/>
          <w:szCs w:val="56"/>
        </w:rPr>
      </w:pPr>
      <w:r w:rsidRPr="00B22258">
        <w:rPr>
          <w:rFonts w:cs="Aharoni"/>
          <w:b/>
          <w:i/>
          <w:sz w:val="56"/>
          <w:szCs w:val="56"/>
        </w:rPr>
        <w:t>Kunnskap er vårt viktigste våpen!</w:t>
      </w:r>
    </w:p>
    <w:p w:rsidR="00A326DA" w:rsidRDefault="00A326DA" w:rsidP="00A326DA">
      <w:pPr>
        <w:rPr>
          <w:rFonts w:hint="eastAsia"/>
        </w:rPr>
      </w:pPr>
    </w:p>
    <w:p w:rsidR="00A326DA" w:rsidRDefault="00A326DA" w:rsidP="00A326DA">
      <w:pPr>
        <w:rPr>
          <w:rFonts w:hint="eastAsia"/>
        </w:rPr>
      </w:pPr>
    </w:p>
    <w:p w:rsidR="00A326DA" w:rsidRDefault="00A326DA" w:rsidP="00A326DA">
      <w:pPr>
        <w:rPr>
          <w:rFonts w:hint="eastAsia"/>
        </w:rPr>
      </w:pPr>
    </w:p>
    <w:p w:rsidR="00A326DA" w:rsidRDefault="00A326DA" w:rsidP="00A326DA">
      <w:pPr>
        <w:jc w:val="center"/>
        <w:rPr>
          <w:rFonts w:hint="eastAsia"/>
        </w:rPr>
      </w:pPr>
      <w:r>
        <w:rPr>
          <w:noProof/>
          <w:lang w:eastAsia="nb-NO" w:bidi="ar-SA"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1" allowOverlap="1" wp14:anchorId="3B0152CA" wp14:editId="3CD1D358">
                <wp:simplePos x="0" y="0"/>
                <wp:positionH relativeFrom="column">
                  <wp:posOffset>-320040</wp:posOffset>
                </wp:positionH>
                <wp:positionV relativeFrom="paragraph">
                  <wp:posOffset>395605</wp:posOffset>
                </wp:positionV>
                <wp:extent cx="4762500" cy="1096645"/>
                <wp:effectExtent l="0" t="0" r="19050" b="27305"/>
                <wp:wrapTopAndBottom/>
                <wp:docPr id="2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09664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F7AD4" w:rsidRDefault="00AD7F6E">
                            <w:pPr>
                              <w:pStyle w:val="Rammeinnhold"/>
                              <w:rPr>
                                <w:rFonts w:hint="eastAsia"/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Det er nyttig at pasienter, pårørende og omsorgspersonalet vet at eldre ofte har bakterier i urinen uten det er nødvendig å behandle med antibiotika. </w:t>
                            </w:r>
                          </w:p>
                        </w:txbxContent>
                      </wps:txbx>
                      <wps:bodyPr wrap="square" lIns="53975" tIns="53975" rIns="53975" bIns="5397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left:0;text-align:left;margin-left:-25.2pt;margin-top:31.15pt;width:375pt;height:86.3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" filled="f" strokeweight=".05pt">
                <v:textbox inset="4.25pt,4.25pt,4.25pt,4.25pt">
                  <w:txbxContent>
                    <w:p w:rsidR="009F7AD4" w:rsidRDefault="00AD7F6E">
                      <w:pPr>
                        <w:pStyle w:val="Rammeinnhold"/>
                        <w:rPr>
                          <w:rFonts w:hint="eastAsia"/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Det er nyttig at pasienter, pårørende og omsorgspersonalet vet at eldre ofte har bakterier i urinen uten det er nødvendig å behandle med antibiotika.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i/>
          <w:sz w:val="56"/>
          <w:szCs w:val="56"/>
        </w:rPr>
        <w:t xml:space="preserve"> </w:t>
      </w:r>
      <w:r w:rsidRPr="00B22258">
        <w:rPr>
          <w:b/>
          <w:i/>
          <w:sz w:val="56"/>
          <w:szCs w:val="56"/>
        </w:rPr>
        <w:t>Det er vanlig at eldre mennesker har bakterier i urinen.</w:t>
      </w:r>
    </w:p>
    <w:p w:rsidR="00A326DA" w:rsidRDefault="00A326DA" w:rsidP="00A326DA">
      <w:pPr>
        <w:rPr>
          <w:rFonts w:hint="eastAsia"/>
        </w:rPr>
      </w:pPr>
    </w:p>
    <w:p w:rsidR="00A326DA" w:rsidRDefault="00BC5869" w:rsidP="00BC5869">
      <w:pPr>
        <w:jc w:val="center"/>
        <w:rPr>
          <w:rFonts w:hint="eastAsia"/>
        </w:rPr>
      </w:pPr>
      <w:r>
        <w:rPr>
          <w:noProof/>
          <w:lang w:eastAsia="nb-NO" w:bidi="ar-SA"/>
        </w:rPr>
        <w:drawing>
          <wp:inline distT="0" distB="0" distL="0" distR="0" wp14:anchorId="317FE823" wp14:editId="12F96281">
            <wp:extent cx="2895600" cy="2838450"/>
            <wp:effectExtent l="0" t="0" r="0" b="0"/>
            <wp:docPr id="4" name="Picture 4" descr="C:\Users\nicolayh\AppData\Local\Microsoft\Windows\Temporary Internet Files\Content.Word\L+ª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yh\AppData\Local\Microsoft\Windows\Temporary Internet Files\Content.Word\L+ªr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1" cy="28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DA" w:rsidRDefault="00A326DA" w:rsidP="00BC5869">
      <w:pPr>
        <w:rPr>
          <w:rFonts w:hint="eastAsia"/>
        </w:rPr>
      </w:pPr>
    </w:p>
    <w:p w:rsidR="00A326DA" w:rsidRDefault="00A326DA" w:rsidP="00A326DA">
      <w:pPr>
        <w:rPr>
          <w:rFonts w:hint="eastAsia"/>
        </w:rPr>
      </w:pPr>
    </w:p>
    <w:p w:rsidR="00A326DA" w:rsidRDefault="00AD7F6E">
      <w:pPr>
        <w:rPr>
          <w:rFonts w:hint="eastAsia"/>
        </w:rPr>
      </w:pPr>
      <w:r>
        <w:rPr>
          <w:sz w:val="32"/>
        </w:rPr>
        <w:t xml:space="preserve">Opp mot halvparten av de skrøpelige eldre og de som bor i sykehjem har bakterier i urinen uten at de er syke. Dette kalles </w:t>
      </w:r>
      <w:proofErr w:type="spellStart"/>
      <w:r>
        <w:rPr>
          <w:sz w:val="32"/>
        </w:rPr>
        <w:t>asymptomatisk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bakteriuri</w:t>
      </w:r>
      <w:proofErr w:type="spellEnd"/>
      <w:r>
        <w:rPr>
          <w:sz w:val="32"/>
        </w:rPr>
        <w:t xml:space="preserve"> og skal ikke behandles med antibiotika.</w:t>
      </w:r>
    </w:p>
    <w:p w:rsidR="009D6C86" w:rsidRDefault="009D6C86">
      <w:pPr>
        <w:rPr>
          <w:rFonts w:hint="eastAsia"/>
          <w:b/>
          <w:sz w:val="44"/>
        </w:rPr>
        <w:sectPr w:rsidR="009D6C86" w:rsidSect="00CC2720">
          <w:footerReference w:type="default" r:id="rId9"/>
          <w:pgSz w:w="16838" w:h="11906" w:orient="landscape"/>
          <w:pgMar w:top="1134" w:right="1134" w:bottom="1134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formProt w:val="0"/>
          <w:docGrid w:linePitch="326" w:charSpace="-6145"/>
        </w:sectPr>
      </w:pPr>
    </w:p>
    <w:p w:rsidR="009F7AD4" w:rsidRDefault="00AD7F6E">
      <w:pPr>
        <w:rPr>
          <w:rFonts w:hint="eastAsia"/>
          <w:sz w:val="44"/>
        </w:rPr>
      </w:pPr>
      <w:proofErr w:type="spellStart"/>
      <w:r>
        <w:rPr>
          <w:b/>
          <w:sz w:val="44"/>
        </w:rPr>
        <w:lastRenderedPageBreak/>
        <w:t>Nytilkomne</w:t>
      </w:r>
      <w:proofErr w:type="spellEnd"/>
      <w:r>
        <w:rPr>
          <w:b/>
          <w:sz w:val="44"/>
        </w:rPr>
        <w:t xml:space="preserve"> plager kan ha andre årsaker enn infeksjon i urinveiene.</w:t>
      </w:r>
    </w:p>
    <w:p w:rsidR="009F7AD4" w:rsidRPr="00B22258" w:rsidRDefault="00AD7F6E">
      <w:pPr>
        <w:rPr>
          <w:rFonts w:hint="eastAsia"/>
          <w:sz w:val="40"/>
          <w:szCs w:val="40"/>
        </w:rPr>
      </w:pPr>
      <w:r w:rsidRPr="00B22258">
        <w:rPr>
          <w:sz w:val="40"/>
          <w:szCs w:val="40"/>
        </w:rPr>
        <w:t xml:space="preserve">Det er en folkelig oppfatning at tretthet, uro og forvirring hos eldre og skrøpelige har sammenheng med infeksjon i urinveiene. </w:t>
      </w:r>
    </w:p>
    <w:p w:rsidR="009F7AD4" w:rsidRPr="00B22258" w:rsidRDefault="00AD7F6E">
      <w:pPr>
        <w:rPr>
          <w:rFonts w:hint="eastAsia"/>
          <w:sz w:val="40"/>
          <w:szCs w:val="40"/>
        </w:rPr>
      </w:pPr>
      <w:r w:rsidRPr="00B22258">
        <w:rPr>
          <w:sz w:val="40"/>
          <w:szCs w:val="40"/>
        </w:rPr>
        <w:t xml:space="preserve">Som oftest har </w:t>
      </w:r>
      <w:proofErr w:type="spellStart"/>
      <w:r w:rsidRPr="00B22258">
        <w:rPr>
          <w:sz w:val="40"/>
          <w:szCs w:val="40"/>
        </w:rPr>
        <w:t>uspesifikke</w:t>
      </w:r>
      <w:proofErr w:type="spellEnd"/>
      <w:r w:rsidRPr="00B22258">
        <w:rPr>
          <w:sz w:val="40"/>
          <w:szCs w:val="40"/>
        </w:rPr>
        <w:t xml:space="preserve"> plager som tretthet, uro og forvirring helt andre årsaker enn infeksjon i urinveiene. </w:t>
      </w:r>
    </w:p>
    <w:p w:rsidR="009F7AD4" w:rsidRDefault="009F7AD4">
      <w:pPr>
        <w:rPr>
          <w:rFonts w:hint="eastAsia"/>
          <w:sz w:val="44"/>
        </w:rPr>
      </w:pPr>
    </w:p>
    <w:p w:rsidR="009F7AD4" w:rsidRDefault="00AD7F6E">
      <w:pPr>
        <w:rPr>
          <w:rFonts w:hint="eastAsia"/>
          <w:sz w:val="44"/>
        </w:rPr>
      </w:pPr>
      <w:r>
        <w:rPr>
          <w:rFonts w:ascii="Liberation Sans" w:hAnsi="Liberation Sans"/>
          <w:b/>
          <w:sz w:val="44"/>
        </w:rPr>
        <w:t>Helhetsvurdering</w:t>
      </w:r>
    </w:p>
    <w:p w:rsidR="009F7AD4" w:rsidRPr="00B22258" w:rsidRDefault="00AD7F6E">
      <w:pPr>
        <w:rPr>
          <w:rFonts w:hint="eastAsia"/>
          <w:sz w:val="40"/>
          <w:szCs w:val="40"/>
        </w:rPr>
      </w:pPr>
      <w:proofErr w:type="spellStart"/>
      <w:r w:rsidRPr="00B22258">
        <w:rPr>
          <w:sz w:val="40"/>
          <w:szCs w:val="40"/>
        </w:rPr>
        <w:t>Uspesifikke</w:t>
      </w:r>
      <w:proofErr w:type="spellEnd"/>
      <w:r w:rsidRPr="00B22258">
        <w:rPr>
          <w:sz w:val="40"/>
          <w:szCs w:val="40"/>
        </w:rPr>
        <w:t xml:space="preserve"> plager kan skyldes </w:t>
      </w:r>
      <w:proofErr w:type="spellStart"/>
      <w:r w:rsidRPr="00B22258">
        <w:rPr>
          <w:sz w:val="40"/>
          <w:szCs w:val="40"/>
        </w:rPr>
        <w:t>nyoppstått</w:t>
      </w:r>
      <w:proofErr w:type="spellEnd"/>
      <w:r w:rsidRPr="00B22258">
        <w:rPr>
          <w:sz w:val="40"/>
          <w:szCs w:val="40"/>
        </w:rPr>
        <w:t xml:space="preserve"> sykdom, bivirkning av legemiddel eller forandring i omgivelsene for eksempel skifte av oppholdssted. </w:t>
      </w:r>
    </w:p>
    <w:p w:rsidR="009F7AD4" w:rsidRDefault="00AD7F6E">
      <w:pPr>
        <w:rPr>
          <w:rFonts w:hint="eastAsia"/>
          <w:sz w:val="44"/>
        </w:rPr>
      </w:pPr>
      <w:r w:rsidRPr="00B22258">
        <w:rPr>
          <w:sz w:val="40"/>
          <w:szCs w:val="40"/>
        </w:rPr>
        <w:t xml:space="preserve">Det er viktig at annen årsak til </w:t>
      </w:r>
      <w:proofErr w:type="spellStart"/>
      <w:r w:rsidRPr="00B22258">
        <w:rPr>
          <w:sz w:val="40"/>
          <w:szCs w:val="40"/>
        </w:rPr>
        <w:t>uspesifikke</w:t>
      </w:r>
      <w:proofErr w:type="spellEnd"/>
      <w:r w:rsidRPr="00B22258">
        <w:rPr>
          <w:sz w:val="40"/>
          <w:szCs w:val="40"/>
        </w:rPr>
        <w:t xml:space="preserve"> plager ikke blir oversett ved at plagene blir feiltolket som infeksjon i urinveiene.</w:t>
      </w:r>
      <w:r>
        <w:rPr>
          <w:sz w:val="44"/>
        </w:rPr>
        <w:t xml:space="preserve"> </w:t>
      </w:r>
    </w:p>
    <w:p w:rsidR="009F7AD4" w:rsidRDefault="009F7AD4">
      <w:pPr>
        <w:rPr>
          <w:rFonts w:hint="eastAsia"/>
          <w:sz w:val="44"/>
        </w:rPr>
      </w:pPr>
    </w:p>
    <w:p w:rsidR="009F7AD4" w:rsidRDefault="009F7AD4">
      <w:pPr>
        <w:rPr>
          <w:rFonts w:hint="eastAsia"/>
          <w:sz w:val="44"/>
        </w:rPr>
      </w:pPr>
    </w:p>
    <w:p w:rsidR="009F7AD4" w:rsidRPr="00CC2720" w:rsidRDefault="00AD7F6E">
      <w:pPr>
        <w:rPr>
          <w:rFonts w:hint="eastAsia"/>
          <w:sz w:val="36"/>
          <w:szCs w:val="36"/>
        </w:rPr>
      </w:pPr>
      <w:r w:rsidRPr="00CC2720">
        <w:rPr>
          <w:b/>
          <w:sz w:val="36"/>
          <w:szCs w:val="36"/>
        </w:rPr>
        <w:t>Antibiotika skal ikke brukes unødvendig</w:t>
      </w:r>
    </w:p>
    <w:p w:rsidR="009F7AD4" w:rsidRPr="00B22258" w:rsidRDefault="00AD7F6E">
      <w:pPr>
        <w:rPr>
          <w:rFonts w:hint="eastAsia"/>
          <w:sz w:val="32"/>
          <w:szCs w:val="32"/>
        </w:rPr>
      </w:pPr>
      <w:r w:rsidRPr="00B22258">
        <w:rPr>
          <w:sz w:val="32"/>
          <w:szCs w:val="32"/>
        </w:rPr>
        <w:t xml:space="preserve">Pasienten skal ikke få antibiotika når dette ikke er nødvendig. </w:t>
      </w:r>
    </w:p>
    <w:p w:rsidR="009F7AD4" w:rsidRPr="00B22258" w:rsidRDefault="00AD7F6E">
      <w:pPr>
        <w:rPr>
          <w:rFonts w:hint="eastAsia"/>
          <w:sz w:val="32"/>
          <w:szCs w:val="32"/>
        </w:rPr>
      </w:pPr>
      <w:r w:rsidRPr="00B22258">
        <w:rPr>
          <w:sz w:val="32"/>
          <w:szCs w:val="32"/>
        </w:rPr>
        <w:t xml:space="preserve">Antibiotika dreper også de snille bakteriene som beskytter oss mot at </w:t>
      </w:r>
      <w:proofErr w:type="spellStart"/>
      <w:r w:rsidRPr="00B22258">
        <w:rPr>
          <w:sz w:val="32"/>
          <w:szCs w:val="32"/>
        </w:rPr>
        <w:t>sykdomfremkallende</w:t>
      </w:r>
      <w:proofErr w:type="spellEnd"/>
      <w:r w:rsidRPr="00B22258">
        <w:rPr>
          <w:sz w:val="32"/>
          <w:szCs w:val="32"/>
        </w:rPr>
        <w:t xml:space="preserve"> bakterier får slippe til i urinveiene og tarmen.</w:t>
      </w:r>
    </w:p>
    <w:p w:rsidR="009F7AD4" w:rsidRPr="00B22258" w:rsidRDefault="00AD7F6E">
      <w:pPr>
        <w:rPr>
          <w:rFonts w:hint="eastAsia"/>
          <w:sz w:val="32"/>
          <w:szCs w:val="32"/>
        </w:rPr>
      </w:pPr>
      <w:r w:rsidRPr="00B22258">
        <w:rPr>
          <w:sz w:val="32"/>
          <w:szCs w:val="32"/>
        </w:rPr>
        <w:t xml:space="preserve">Antibiotika kan gi bivirkning som diaré. Diaré og væsketap kan være svært alvorlig for eldre og skrøpelige. </w:t>
      </w:r>
    </w:p>
    <w:p w:rsidR="009F7AD4" w:rsidRPr="00B22258" w:rsidRDefault="009F7AD4">
      <w:pPr>
        <w:rPr>
          <w:rFonts w:hint="eastAsia"/>
          <w:sz w:val="32"/>
          <w:szCs w:val="32"/>
        </w:rPr>
      </w:pPr>
    </w:p>
    <w:p w:rsidR="009F7AD4" w:rsidRPr="00CC2720" w:rsidRDefault="00AD7F6E">
      <w:pPr>
        <w:rPr>
          <w:rFonts w:hint="eastAsia"/>
          <w:b/>
          <w:sz w:val="36"/>
          <w:szCs w:val="36"/>
        </w:rPr>
      </w:pPr>
      <w:proofErr w:type="spellStart"/>
      <w:r w:rsidRPr="00CC2720">
        <w:rPr>
          <w:b/>
          <w:sz w:val="36"/>
          <w:szCs w:val="36"/>
        </w:rPr>
        <w:t>Antibiotikaresistens</w:t>
      </w:r>
      <w:proofErr w:type="spellEnd"/>
    </w:p>
    <w:p w:rsidR="009F7AD4" w:rsidRPr="00B22258" w:rsidRDefault="00AD7F6E">
      <w:pPr>
        <w:rPr>
          <w:rFonts w:hint="eastAsia"/>
          <w:sz w:val="32"/>
          <w:szCs w:val="32"/>
        </w:rPr>
      </w:pPr>
      <w:r w:rsidRPr="00B22258">
        <w:rPr>
          <w:sz w:val="32"/>
          <w:szCs w:val="32"/>
        </w:rPr>
        <w:t>Ved bruk av antibiotika er det risiko for å dyrke fram bakterier med motstandsdyktighet mot antibiotika. Disse bakterier kan senere gi infeksjon som er svært vanskelig å behandle.</w:t>
      </w:r>
    </w:p>
    <w:p w:rsidR="009F7AD4" w:rsidRPr="00B22258" w:rsidRDefault="009F7AD4">
      <w:pPr>
        <w:rPr>
          <w:rFonts w:hint="eastAsia"/>
          <w:sz w:val="32"/>
          <w:szCs w:val="32"/>
        </w:rPr>
      </w:pPr>
    </w:p>
    <w:p w:rsidR="009F7AD4" w:rsidRPr="00CC2720" w:rsidRDefault="00AD7F6E">
      <w:pPr>
        <w:rPr>
          <w:rFonts w:hint="eastAsia"/>
          <w:b/>
          <w:sz w:val="36"/>
          <w:szCs w:val="36"/>
        </w:rPr>
      </w:pPr>
      <w:r w:rsidRPr="00CC2720">
        <w:rPr>
          <w:b/>
          <w:sz w:val="36"/>
          <w:szCs w:val="36"/>
        </w:rPr>
        <w:t>Antibiotika ved infeksjon i urinveiene</w:t>
      </w:r>
    </w:p>
    <w:p w:rsidR="009F7AD4" w:rsidRDefault="00AD7F6E">
      <w:pPr>
        <w:rPr>
          <w:rFonts w:hint="eastAsia"/>
          <w:sz w:val="44"/>
        </w:rPr>
      </w:pPr>
      <w:r w:rsidRPr="00B22258">
        <w:rPr>
          <w:sz w:val="32"/>
          <w:szCs w:val="32"/>
        </w:rPr>
        <w:t xml:space="preserve">Dersom det er </w:t>
      </w:r>
      <w:proofErr w:type="spellStart"/>
      <w:r w:rsidRPr="00B22258">
        <w:rPr>
          <w:sz w:val="32"/>
          <w:szCs w:val="32"/>
        </w:rPr>
        <w:t>nytilkommet</w:t>
      </w:r>
      <w:proofErr w:type="spellEnd"/>
      <w:r w:rsidRPr="00B22258">
        <w:rPr>
          <w:sz w:val="32"/>
          <w:szCs w:val="32"/>
        </w:rPr>
        <w:t xml:space="preserve"> plager som svie ved vannlating og hyppig vannlating eller urinlekkasje med eller uten feber kan årsaken være infeksjon i urinveiene. Antibiotika kan da være til hjelp. Urinprøve skal bare bli tatt når det er mistanke om infeksjon i urinveiene.</w:t>
      </w:r>
    </w:p>
    <w:sectPr w:rsidR="009F7AD4" w:rsidSect="009D6C86">
      <w:pgSz w:w="16838" w:h="11906" w:orient="landscape"/>
      <w:pgMar w:top="1134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formProt w:val="0"/>
      <w:textDirection w:val="lrTbV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86" w:rsidRDefault="009D6C86" w:rsidP="009D6C86">
      <w:pPr>
        <w:rPr>
          <w:rFonts w:hint="eastAsia"/>
        </w:rPr>
      </w:pPr>
      <w:r>
        <w:separator/>
      </w:r>
    </w:p>
  </w:endnote>
  <w:endnote w:type="continuationSeparator" w:id="0">
    <w:p w:rsidR="009D6C86" w:rsidRDefault="009D6C86" w:rsidP="009D6C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3C" w:rsidRDefault="005C513C">
    <w:pPr>
      <w:pStyle w:val="Bunntekst"/>
      <w:rPr>
        <w:rFonts w:hint="eastAsia"/>
      </w:rPr>
    </w:pPr>
  </w:p>
  <w:p w:rsidR="005C513C" w:rsidRPr="005C513C" w:rsidRDefault="005C513C" w:rsidP="005C513C">
    <w:pPr>
      <w:pStyle w:val="TQMDocxPublishingHeaderDocumentInfoStyleName"/>
      <w:spacing w:before="100" w:after="100"/>
      <w:rPr>
        <w:szCs w:val="14"/>
        <w:lang w:val="en-US"/>
      </w:rPr>
    </w:pPr>
    <w:r w:rsidRPr="00FD6EF5">
      <w:rPr>
        <w:lang w:val="en-US"/>
      </w:rPr>
      <w:t xml:space="preserve">Ref:  </w:t>
    </w:r>
    <w:proofErr w:type="spellStart"/>
    <w:r w:rsidRPr="00FD6EF5">
      <w:rPr>
        <w:lang w:val="en-US"/>
      </w:rPr>
      <w:t>Sundvall</w:t>
    </w:r>
    <w:proofErr w:type="spellEnd"/>
    <w:r w:rsidRPr="00FD6EF5">
      <w:rPr>
        <w:lang w:val="en-US"/>
      </w:rPr>
      <w:t xml:space="preserve"> et al: Interleukin-6 concentrations in the urine and dipstick analyses were related to bacteriuria but not symptoms in the elderly: a cross sectional study of 421 nursing home residents.  </w:t>
    </w:r>
    <w:hyperlink r:id="rId1" w:tooltip="BMC geriatrics." w:history="1">
      <w:r w:rsidRPr="005C513C">
        <w:rPr>
          <w:color w:val="2F4A8B"/>
          <w:szCs w:val="14"/>
          <w:u w:val="single"/>
          <w:lang w:val="en-US"/>
        </w:rPr>
        <w:t xml:space="preserve">BMC </w:t>
      </w:r>
      <w:proofErr w:type="spellStart"/>
      <w:r w:rsidRPr="005C513C">
        <w:rPr>
          <w:color w:val="2F4A8B"/>
          <w:szCs w:val="14"/>
          <w:u w:val="single"/>
          <w:lang w:val="en-US"/>
        </w:rPr>
        <w:t>Geriatr</w:t>
      </w:r>
      <w:proofErr w:type="spellEnd"/>
      <w:r w:rsidRPr="005C513C">
        <w:rPr>
          <w:color w:val="2F4A8B"/>
          <w:szCs w:val="14"/>
          <w:u w:val="single"/>
          <w:lang w:val="en-US"/>
        </w:rPr>
        <w:t>.</w:t>
      </w:r>
    </w:hyperlink>
    <w:r w:rsidRPr="005C513C">
      <w:rPr>
        <w:szCs w:val="14"/>
        <w:lang w:val="en-US"/>
      </w:rPr>
      <w:t xml:space="preserve"> 2014 Aug 12;14:88. </w:t>
    </w:r>
    <w:proofErr w:type="spellStart"/>
    <w:r w:rsidRPr="005C513C">
      <w:rPr>
        <w:szCs w:val="14"/>
        <w:lang w:val="en-US"/>
      </w:rPr>
      <w:t>doi</w:t>
    </w:r>
    <w:proofErr w:type="spellEnd"/>
    <w:r w:rsidRPr="005C513C">
      <w:rPr>
        <w:szCs w:val="14"/>
        <w:lang w:val="en-US"/>
      </w:rPr>
      <w:t>: 10.1186/1471-2318-14-88.</w:t>
    </w:r>
  </w:p>
  <w:p w:rsidR="005C513C" w:rsidRPr="005C513C" w:rsidRDefault="005C513C">
    <w:pPr>
      <w:pStyle w:val="Bunntekst"/>
      <w:rPr>
        <w:rFonts w:hint="eastAsia"/>
        <w:lang w:val="en-US"/>
      </w:rPr>
    </w:pPr>
  </w:p>
  <w:p w:rsidR="009D6C86" w:rsidRPr="009D6C86" w:rsidRDefault="009D6C86">
    <w:pPr>
      <w:pStyle w:val="Bunntekst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86" w:rsidRDefault="009D6C86" w:rsidP="009D6C86">
      <w:pPr>
        <w:rPr>
          <w:rFonts w:hint="eastAsia"/>
        </w:rPr>
      </w:pPr>
      <w:r>
        <w:separator/>
      </w:r>
    </w:p>
  </w:footnote>
  <w:footnote w:type="continuationSeparator" w:id="0">
    <w:p w:rsidR="009D6C86" w:rsidRDefault="009D6C86" w:rsidP="009D6C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D4"/>
    <w:rsid w:val="00321AAF"/>
    <w:rsid w:val="005C513C"/>
    <w:rsid w:val="005E1D02"/>
    <w:rsid w:val="009D6C86"/>
    <w:rsid w:val="009F7AD4"/>
    <w:rsid w:val="00A326DA"/>
    <w:rsid w:val="00AD7F6E"/>
    <w:rsid w:val="00B22258"/>
    <w:rsid w:val="00BC5869"/>
    <w:rsid w:val="00C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nb-N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Rammeinnhold">
    <w:name w:val="Rammeinnhold"/>
    <w:basedOn w:val="Normal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C5869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869"/>
    <w:rPr>
      <w:rFonts w:ascii="Tahoma" w:hAnsi="Tahoma" w:cs="Mangal"/>
      <w:color w:val="00000A"/>
      <w:sz w:val="16"/>
      <w:szCs w:val="14"/>
    </w:rPr>
  </w:style>
  <w:style w:type="paragraph" w:styleId="Topptekst">
    <w:name w:val="header"/>
    <w:basedOn w:val="Normal"/>
    <w:link w:val="TopptekstTegn"/>
    <w:uiPriority w:val="99"/>
    <w:unhideWhenUsed/>
    <w:rsid w:val="009D6C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9D6C86"/>
    <w:rPr>
      <w:rFonts w:cs="Mangal"/>
      <w:color w:val="00000A"/>
      <w:sz w:val="24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9D6C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9D6C86"/>
    <w:rPr>
      <w:rFonts w:cs="Mangal"/>
      <w:color w:val="00000A"/>
      <w:sz w:val="24"/>
      <w:szCs w:val="21"/>
    </w:rPr>
  </w:style>
  <w:style w:type="paragraph" w:customStyle="1" w:styleId="TQMDocxPublishingHeaderDocumentInfoStyleName">
    <w:name w:val="TQM_DocxPublishingHeaderDocumentInfoStyleName"/>
    <w:basedOn w:val="Normal"/>
    <w:next w:val="Normal"/>
    <w:rsid w:val="009D6C86"/>
    <w:pPr>
      <w:spacing w:line="200" w:lineRule="exact"/>
    </w:pPr>
    <w:rPr>
      <w:rFonts w:ascii="Arial" w:eastAsia="Arial" w:hAnsi="Arial"/>
      <w:color w:val="auto"/>
      <w:sz w:val="14"/>
      <w:lang w:eastAsia="nb-NO" w:bidi="ar-SA"/>
    </w:rPr>
  </w:style>
  <w:style w:type="paragraph" w:styleId="Ingenmellomrom">
    <w:name w:val="No Spacing"/>
    <w:link w:val="IngenmellomromTegn"/>
    <w:uiPriority w:val="1"/>
    <w:qFormat/>
    <w:rsid w:val="009D6C86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D6C86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nb-N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Rammeinnhold">
    <w:name w:val="Rammeinnhold"/>
    <w:basedOn w:val="Normal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C5869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869"/>
    <w:rPr>
      <w:rFonts w:ascii="Tahoma" w:hAnsi="Tahoma" w:cs="Mangal"/>
      <w:color w:val="00000A"/>
      <w:sz w:val="16"/>
      <w:szCs w:val="14"/>
    </w:rPr>
  </w:style>
  <w:style w:type="paragraph" w:styleId="Topptekst">
    <w:name w:val="header"/>
    <w:basedOn w:val="Normal"/>
    <w:link w:val="TopptekstTegn"/>
    <w:uiPriority w:val="99"/>
    <w:unhideWhenUsed/>
    <w:rsid w:val="009D6C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9D6C86"/>
    <w:rPr>
      <w:rFonts w:cs="Mangal"/>
      <w:color w:val="00000A"/>
      <w:sz w:val="24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9D6C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9D6C86"/>
    <w:rPr>
      <w:rFonts w:cs="Mangal"/>
      <w:color w:val="00000A"/>
      <w:sz w:val="24"/>
      <w:szCs w:val="21"/>
    </w:rPr>
  </w:style>
  <w:style w:type="paragraph" w:customStyle="1" w:styleId="TQMDocxPublishingHeaderDocumentInfoStyleName">
    <w:name w:val="TQM_DocxPublishingHeaderDocumentInfoStyleName"/>
    <w:basedOn w:val="Normal"/>
    <w:next w:val="Normal"/>
    <w:rsid w:val="009D6C86"/>
    <w:pPr>
      <w:spacing w:line="200" w:lineRule="exact"/>
    </w:pPr>
    <w:rPr>
      <w:rFonts w:ascii="Arial" w:eastAsia="Arial" w:hAnsi="Arial"/>
      <w:color w:val="auto"/>
      <w:sz w:val="14"/>
      <w:lang w:eastAsia="nb-NO" w:bidi="ar-SA"/>
    </w:rPr>
  </w:style>
  <w:style w:type="paragraph" w:styleId="Ingenmellomrom">
    <w:name w:val="No Spacing"/>
    <w:link w:val="IngenmellomromTegn"/>
    <w:uiPriority w:val="1"/>
    <w:qFormat/>
    <w:rsid w:val="009D6C86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D6C86"/>
    <w:rPr>
      <w:rFonts w:asciiTheme="minorHAnsi" w:eastAsiaTheme="minorEastAsia" w:hAnsiTheme="minorHAnsi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2511774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9D1B-F5AA-40EE-AEC7-3E3F6275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3D2E7FFA</Template>
  <TotalTime>0</TotalTime>
  <Pages>2</Pages>
  <Words>305</Words>
  <Characters>1620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Askøy Kommune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Kjellaug Enoksen</dc:creator>
  <cp:lastModifiedBy>Skodvin, Brita</cp:lastModifiedBy>
  <cp:revision>2</cp:revision>
  <cp:lastPrinted>2017-03-28T13:06:00Z</cp:lastPrinted>
  <dcterms:created xsi:type="dcterms:W3CDTF">2017-04-20T17:09:00Z</dcterms:created>
  <dcterms:modified xsi:type="dcterms:W3CDTF">2017-04-20T17:09:00Z</dcterms:modified>
  <dc:language>nb-NO</dc:language>
</cp:coreProperties>
</file>